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82 FR 13795, March 15, 2017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DEPARTMENT OF COMMERCE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International Trade Administration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Initiation of Antidumping and Countervailing Duty Administrative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Reviews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AGENCY: Enforcement and Compliance, International Trade Administration,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Department of Commerce.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SUMMARY: The Department of Commerce (``the Department'') has received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requests to conduct administrative reviews of various antidumping and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countervailing duty orders and findings with January anniversary dates.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 accordance with the Department's regulations, we are initiating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those administrative reviews.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DATES: Effective March 15, 2017.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FOR FURTHER INFORMATION CONTACT: Brenda E. Waters, Office of AD/CVD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Operations, Customs Liaison Unit, Enforcement and Compliance,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International Trade Administration, U.S. Department of Commerce, 1401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Constitution Avenue NW., Washington, DC 20230, telephone: (202) 482-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4735.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SUPPLEMENTARY INFORMATION: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Background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The Department has received timely requests, in accordance with 19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CFR 351.213(b), for administrative reviews of various antidumping and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countervailing duty orders and findings with January anniversary dates.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All deadlines for the submission of various types of information,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certifications, or comments or actions by the Department discussed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below refer to the number of calendar days from the applicable starting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time.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Notice of No Sales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If a producer or exporter named in this notice of initiation had no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exports, sales, or entries during the period of review (``POR''), it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must notify the Department within 30 days of publication of this notice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in the Federal Register. All submissions must be filed electronically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at http://access.trade.gov in accordance with 19 CFR 351.303.\1\ Such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submissions are subject to verification in accordance with section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782(i) of the Tariff Act of 1930, as amended (``the Act''). Further, in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accordance with 19 CFR 351.303(f)(1)(i), a copy must be served on every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party on the Department's service list.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---------------------------------------------------------------------------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\1\ See Antidumping and Countervailing Duty Proceedings: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Electronic Filing Procedures; Administrative Protective Order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Procedures, 76 FR 39263 (July 6, 2011).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---------------------------------------------------------------------------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Respondent Selection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In the event the Department limits the number of respondents for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individual examination for administrative reviews initiated pursuant to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requests made for the orders identified below, except for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administrative review of the antidumping duty order on wooden bedroom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furniture from the People's Republic of China (``PRC''), the Department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intends to select respondents based on U.S. Customs and Border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Protection (``CBP'') data for U.S. imports during the period of review.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We intend to place the CBP data on the record within five days of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publication of the initiation notice and to make our decision regarding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respondent selection within 30 days of publication of the initiation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Federal Register notice. Comments regarding the CBP data and respondent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selection should be submitted seven days after the placement of the CBP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data on the record of this review. Parties wishing to submit rebuttal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comments should submit those comments five days after the deadline for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the initial comments.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In the event the Department decides it is necessary to limit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individual examination of respondents and conduct respondent selection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under section 777A(c)(2) of the Act: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In general, the Department has found that determinations concerning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whether particular companies should be ``collapsed'' (i.e., treated as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 single entity for purposes of calculating antidumping duty rates)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require a substantial amount of detailed information and analysis,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which often require follow-up questions and analysis. Accordingly,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Department will not conduct collapsing analyses at the respondent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selection phase of this review and will not collapse companies at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respondent selection phase unless there has been a determination to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collapse certain companies in a previous segment of this antidumping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proceeding (i.e., investigation, administrative review, new shipper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review or changed circumstances review). For any company subject to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this review, if the Department determined, or continued to treat, that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company as collapsed with others, the Department will assume that such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companies continue to operate in the same manner and will collapse them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for respondent selection purposes. Otherwise, the Department will not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collapse companies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[[Page 13796]]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for purposes of respondent selection. Parties are requested to (a)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identify which companies subject to review previously were collapsed,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and (b) provide a citation to the proceeding in which they were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collapsed. Further, if companies are requested to complete the Quantity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and Value (``Q&amp;V'') Questionnaire for purposes of respondent selection,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 general each company must report volume and value data separately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for itself. Parties should not include data for any other party, even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if they believe they should be treated as a single entity with that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other party. If a company was collapsed with another company or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companies in the most recently completed segment of this proceeding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where the Department considered collapsing that entity, complete Q&amp;V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data for that collapsed entity must be submitted.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Respondent Selection--Wooden Bedroom Furniture From the PRC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In the event that the Department limits the number of respondents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for individual examination in the antidumping duty administrative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review of wooden bedroom furniture from the PRC, for the purposes of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this segment of the proceeding, i.e., the 2016 review period,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Department intends to select respondents based on volume data contained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 responses to a Q&amp;V questionnaire. All parties are hereby notified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that they must timely respond to the Q&amp;V questionnaire.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Department's Q&amp;V questionnaire along with certain additional questions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will be available in a document package on the Department's Web site at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http://enforcement.trade.gov/download/prc-wbf/index.html on the date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this notice is published. The responses to the Q&amp;V questionnaire should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be filed with the respondents' Separate Rate Application or Separate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Rate Certification (see the ``Separate Rates'' section below) and their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response to the additional questions and must be received by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Department by no later than 30 days after publication of this notice.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Please be advised that due to the time constraints imposed by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statutory and regulatory deadlines for antidumping duty administrative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reviews, the Department does not intend to grant any extensions for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submission of responses to the Q&amp;V questionnaire.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Deadline for Withdrawal of Request for Administrative Review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Pursuant to 19 CFR 351.213(d)(1), a party that has requested a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review may withdraw that request within 90 days of the date of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publication of the notice of initiation of the requested review.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regulation provides that the Department may extend this time if it is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reasonable to do so. In order to provide parties additional certainty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with respect to when the Department will exercise its discretion to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extend this 90-day deadline, interested parties are advised that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Department does not intend to extend the 90-day deadline unless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requestor demonstrates that an extraordinary circumstance has prevented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it from submitting a timely withdrawal request. Determinations by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Department to extend the 90-day deadline will be made on a case-by-case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basis.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Separate Rates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In proceedings involving non-market economy (``NME'') countries,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the Department begins with a rebuttable presumption that all companies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within the country are subject to government control and, thus, should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be assigned a single antidumping duty deposit rate. It is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Department's policy to assign all exporters of merchandise subject to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an administrative review in an NME country this single rate unless an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exporter can demonstrate that it is sufficiently independent so as to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be entitled to a separate rate.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To establish whether a firm is sufficiently independent from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government control of its export activities to be entitled to a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separate rate, the Department analyzes each entity exporting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subject merchandise. In accordance with the separate rates criteria,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the Department assigns separate rates to companies in NME cases only if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respondents can demonstrate the absence of both de jure and de facto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government control over export activities.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All firms listed below that wish to qualify for separate rate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status in the administrative reviews involving NME countries must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complete, as appropriate, either a separate rate application or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certification, as described below. In addition, all firms that wish to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qualify for separate-rate status in the antidumping duty administrative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review of wooden bedroom furniture from the PRC must complete, as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appropriate, either a separate-rate certification or application, as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described below, and respond to the additional questions and the Q&amp;V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questionnaire on the Department's Web site at http://enforcement.trade.gov/download/prc-wbf/index.html. For these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administrative reviews, in order to demonstrate separate rate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eligibility, the Department requires entities for whom a review was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requested, that were assigned a separate rate in the most recent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segment of this proceeding in which they participated, to certify that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they continue to meet the criteria for obtaining a separate rate.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Separate Rate Certification form will be available on the Department's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Web site at http://enforcement.trade.gov/nme/nme-sep-rate.html on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date of publication of this Federal Register notice. In responding to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the certification, please follow the ``Instructions for Filing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Certification'' in the Separate Rate Certification. Separate Rate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Certifications are due to the Department no later than 30 calendar days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after publication of this Federal Register notice. The deadline and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requirement for submitting a Certification applies equally to NME-owned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firms, wholly foreign-owned firms, and foreign sellers who purchase and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export subject merchandise to the United States. For the antidumping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duty administrative review of wooden bedroom furniture from the PRC,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Separate Rate Certifications, as well as a response to the Q&amp;V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questionnaire and the additional questions in the document package, are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due to the Department no later than 30 calendar days after publication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of this Federal Register notice.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Entities that currently do not have a separate rate from a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completed segment of the proceeding \2\ should timely file a Separate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Rate Application to demonstrate eligibility for a separate rate in this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proceeding. In addition, companies that received a separate rate in a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completed segment of the proceeding that have subsequently made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changes, including, but not limited to, changes to corporate structure,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acquisitions of new companies or facilities, or changes to their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official company name,\3\ should timely file a Separate Rate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Application to demonstrate eligibility for a separate rate in this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proceeding. The Separate Rate Status Application will be available on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the Department's Web site at http://enforcement.trade.gov/nme/nme-sep-rate.html on the date of publication of this Federal Register notice.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 responding to the Separate Rate Status Application, refer to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instructions contained in the application. Separate Rate Status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[[Page 13797]]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Applications are due to the Department no later than 30 calendar days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of publication of this Federal Register notice. For the antidumping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duty administrative review of wooden bedroom furniture from the PRC,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Separate Rate Status Applications, as well as a response to the Q&amp;V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questionnaire and the additional questions in the document package, are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due to the Department no later than 30 calendar days after publication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of this Federal Register notice. The deadline and requirement for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submitting a Separate Rate Status Application applies equally to NME-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owned firms, wholly foreign-owned firms, and foreign sellers that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purchase and export subject merchandise to the United States.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---------------------------------------------------------------------------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\2\ Such entities include entities that have not participated in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the proceeding, entities that were preliminarily granted a separate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rate in any currently incomplete segment of the proceeding (e.g., an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ongoing administrative review, new shipper review, etc.) and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entities that lost their separate rate in the most recently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completed segment of the proceeding in which they participated.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\3\ Only changes to the official company name, rather than trade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names, need to be addressed via a Separate Rate Application.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Information regarding new trade names may be submitted via a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Separate Rate Certification.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---------------------------------------------------------------------------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For exporters and producers who submit a separate-rate status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application or certification and subsequently are selected as mandatory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respondents, these exporters and producers will no longer be eligible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for separate rate status unless they respond to all parts of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questionnaire as mandatory respondents.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Furthermore, this notice constitutes public notification to all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firms for which an antidumping duty administrative review of wooden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bedroom furniture from the PRC has been requested, and that are seeking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separate rate status in the review, that they must submit a timely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separate rate application or certification (as appropriate) as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described above, and a timely response to the Q&amp;V questionnaire and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additional questions in the document package on the Department's Web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site in order to receive consideration for separate-rate status. In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other words, the Department will not give consideration to any timely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separate rate certification or application made by parties who failed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to respond in a timely manner to the Q&amp;V questionnaire and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additional questions. All information submitted by respondents in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antidumping duty administrative review of wooden bedroom furniture from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the PRC is subject to verification. As noted above, the separate rate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certification, the separate rate application, the Q&amp;V questionnaire,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and the additional questions will be available on the Department's Web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site on the date of publication of this notice in the Federal Register.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Initiation of Reviews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In accordance with 19 CFR 351.221(c)(1)(i), we are initiating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administrative reviews of the following antidumping and countervailing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duty orders and findings. We intend to issue the final results of these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reviews not later than January 31, 2018.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              Period to be reviewed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Antidumping Duty Proceedings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The People's Republic of China: Potassium               01/1/16-12/31/16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Permanganate A-570-001........................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Chongqing Changyuan Group Limited..........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Pacific Accelerator Limited................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Republic of Korea: Welded Line Pipe \4\ A-580-          5/22/15-11/30/16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876...........................................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Dongbu Steel Co., Ltd.\5\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The People's Republic of China: Multilayered            12/1/15-11/30/16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Wood Flooring \6\ A-570-970...................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Fine Furniture (Shanghai) Limited and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Double F Limited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The People's Republic of China: Wooden Bedroom          01/1/16-12/31/16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Furniture A-570-890...........................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Beautter Furniture Mfg. Co.                  .......................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Best Beauty Furniture Co.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C.F. Kent Co., Inc.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C.F. Kent Hospitality, Inc.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Century Distribution Systems, Inc.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Changshu Htc Import &amp; Export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Clearwise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Decca Furniture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Dongguan Chengcheng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Dongguan Fortune Furniture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Dongguan Jinfeng Creative Furniture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Dongguan Kingstone Furniture Co., Ltd.;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Kingstone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Dongguan Nova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Dongguan Singways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Dongguan Sunrise Furniture Co., Taicang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Sunrise Wood Industry, Co., Ltd., Shanghai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Sunrise Furniture Co., Ltd., Fairmont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Designs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Dongguan Sunrise Furniture Co., Taicang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Sunrise Wood Industry, Co., Ltd., Taicang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Fairmont Designs Furniture Co., Ltd.,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Meizhou Sunrise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Dongguan Zhisheng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Dorbest Ltd.; Rui Feng Woodwork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aka Rui Feng Woodwork (Dongguan) Co.,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Ltd.; Rui Feng Lumber Development Co.,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Ltd. aka Rui Feng Lumber Development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(Shenzhen)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Eurosa (Kunshan) Co., Ltd.; Eurosa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Furniture Co., (PTE)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Evergo Furniture Manufacturing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Fine Furniture (Shanghai)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Fleetwood Fine Furniture LP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Fortune Furniture Ltd.,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Foshan Bailan Imp. &amp; Exp.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Foshan Shunde Longjiang Zhishang Furniture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Factory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Fujian Lianfu Forestry Co., Ltd. (aka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Fujian Wonder Pacific Inc.)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Golden Well International (HK)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(Exporter) Zhangzhou Xym Furniture Product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Co., Ltd. (Producer)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Guangzhou Maria Yee Furnishings Ltd., Pyla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HK Ltd., Maria Yee, Inc.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Haining Kareno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Hang Hai Woodcrafts Art Factory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Hangzhou Cadman Trading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(Exporter) Haining Changbei Furniture Co.,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Ltd. (Producer)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Hualing Furniture (China) Co., Ltd.; Tony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House Manufacture (China) Co., Ltd.;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Buysell Investments Ltd.; Tony House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Industries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Jiangmen Kinwai Furniture Decoration Co.,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[[Page 13798]]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Jiangmen Kinwai International Furniture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Jiangsu Dare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Jiangsu Xiangsheng Bedtime Furniture Co.,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Jiangsu Yuexing Furniture Group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Jiant Furniture Co.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Jiashan Zhenxuan Furniture Co., Ltd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K Wee &amp; Co., Ltd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Kunshan Summit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Nanhai Jiantai Woodwork Co., Ltd., Fortune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Glory Industrial Ltd.(H.K. Ltd.)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Nantong Wangzhuang Furniture Co.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Nantong Yangzi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Nathan International Ltd.; Nathan Rattan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Factory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Orient International Holding Shanghai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Foreign Trade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Passwell Corporation; Pleasant Wave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Perfect Line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PuTian Jinggong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Qingdao Liangmu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Restonic (Dongguan) Furniture Ltd.;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Restonic Far East (Samoa)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RiZhao Sanmu Woodworking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Shanghai Jian Pu Export &amp; Import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Shenyang Shining Dongxing Furniture Co.,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Shenzhen Diamond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Shenzhen Forest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Shenzhen Jiafa High Grade Furniture Co.,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Ltd.; Golden Lion International Trading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Shenzhen New Fudu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Shenzhen Wonderful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Shenzhen Xingli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Shing Mark Enterprise Co., Ltd.; Carven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Industries Limited (BVI); Carven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Industries Limited (HK); Dongguan Zhenxin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Furniture Co., Ltd.; Dongguan Yongpeng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Starwood Industries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Sunforce Furniture (Hui-Yang) Co., Ltd.;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     Sun Fung Wooden Factory; Sun Fung Co.;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Shin Feng Furniture Co., Ltd.; Stupendous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International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Superwood Co., Ltd.; Lianjiang Zongyu Art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Products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Techniwood Industries Ltd.; Ningbo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Furniture Industries Ltd.; Ningbo Hengrun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Tradewinds Furniture Ltd. (Successor-In-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Interest to Nanhai Jiantai Woodwork Co.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Ltd.); Fortune Glory Industrial Ltd. (H.K.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Ltd.)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U-Rich Furniture (Zhangzhou) Co., Ltd.; U-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Rich Furniture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Weimei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Woodworth Wooden Industries (Dong Guan)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Wuxi Yushea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Xiamen Yongquan Sci-Tech Development Co.,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Yeh Brothers World Trade Inc.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Yihua Timber Industry Co., Ltd.; Guangdong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Yihua Timber Industry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Zhangjiagang Daye Hotel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Zhangzhou Guohui Industrial &amp; Trade Co.,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Zhejiang Tianyi Scientific &amp; Educational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Equipment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Zhong Shun Wood Art Co.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Zhongshan Fookyik Furniture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Zhongshan Golden King Furniture Industrial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Zhoushan For-Strong Wood Co., Ltd.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Countervailing Duty Proceedings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The People's Republic of China: Multilayered             1/1/15-12/31/15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Wood Flooring \7\ C-570-971...................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Hangzhou Dazhuang Floor Co. (dba Dasso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Industrial Group Co., Ltd.)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Suspension Agreements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None.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Duty Absorption Reviews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---------------------------------------------------------------------------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\4\ In the initiation notice that published on February 13, 2017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(82 FR 10457) the POR for the above referenced case was incorrect.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The period listed above is the correct POR for this case.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\5\ The company listed above was inadvertently omitted from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initiation notice that published on February 13, 2017 (82 FR 10457).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\6\ The The department inadvertently omitted Double F Limited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from the initiation notice that published on February 13, 2017 (82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FR 10457).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\7\ The department inadvertently omitted dba from the company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listed above in the initiation notice that published on February 13,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2017 (82 FR 10457).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---------------------------------------------------------------------------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During any administrative review covering all or part of a period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falling between the first and second or third and fourth anniversary of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the publication of an antidumping duty order under 19 CFR 351.211 or a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determination under 19 CFR 351.218(f)(4) to continue an order or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suspended investigation (after sunset review), the Secretary, if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requested by a domestic interested party within 30 days of the date of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publication of the notice of initiation of the review, will determine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whether antidumping duties have been absorbed by an exporter or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producer subject to the review if the subject merchandise is sold in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the United States through an importer that is affiliated with such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exporter or producer. The request must include the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[[Page 13799]]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name(s) of the exporter or producer for which the inquiry is requested.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Gap Period Liquidation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For the first administrative review of any order, there will be no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assessment of antidumping or countervailing duties on entries of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subject merchandise entered, or withdrawn from warehouse, for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consumption during the relevant provisional-measures ``gap'' period, of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the order, if such a gap period is applicable to the POR.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Administrative Protective Orders and Letters of Appearance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Interested parties must submit applications for disclosure under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administrative protective orders in accordance with the procedures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outlined in the Department's regulations at 19 CFR 351.305. Those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procedures apply to administrative reviews included in this notice of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initiation. Parties wishing to participate in any of these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administrative reviews should ensure that they meet the requirements of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these procedures (e.g., the filing of separate letters of appearance as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discussed at 19 CFR 351.103(d)).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Factual Information Requirements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The Department's regulations identify five categories of factual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information in 19 CFR 351.102(b)(21), which are summarized as follows: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(i) Evidence submitted in response to questionnaires; (ii) evidence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submitted in support of allegations; (iii) publicly available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information to value factors under 19 CFR 351.408(c) or to measure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adequacy of remuneration under 19 CFR 351.511(a)(2); (iv) evidence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placed on the record by the Department; and (v) evidence other than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factual information described in (i)-(iv). These regulations require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any party, when submitting factual information, to specify under which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subsection of 19 CFR 351.102(b)(21) the information is being submitted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and, if the information is submitted to rebut, clarify, or correct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factual information already on the record, to provide an explanation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identifying the information already on the record that the factual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information seeks to rebut, clarify, or correct. The regulations, at 19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CFR 351.301, also provide specific time limits for such factual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submissions based on the type of factual information being submitted.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Please review the final rule, available at http://enforcement.trade.gov/frn/2013/1304frn/2013-08227.txt, prior to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submitting factual information in this segment.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Any party submitting factual information in an antidumping duty or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countervailing duty proceeding must certify to the accuracy and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completeness of that information.\8\ Parties are hereby reminded that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revised certification requirements are in effect for company/government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officials as well as their representatives. All segments of any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antidumping duty or countervailing duty proceedings initiated on or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after August 16, 2013, should use the formats for the revised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certifications provided at the end of the Final Rule.\9\ The Department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intends to reject factual submissions in any proceeding segments if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submitting party does not comply with applicable revised certification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requirements.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---------------------------------------------------------------------------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\8\ See section 782(b) of the Act.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\9\ See Certification of Factual Information To Import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Administration During Antidumping and Countervailing Duty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Proceedings, 78 FR 42678 (July 17, 2013) (``Final Rule''); see also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the frequently asked questions regarding the Final Rule, available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at http://enforcement.trade.gov/tlei/notices/factual_info_final_rule_FAQ_07172013.pdf.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---------------------------------------------------------------------------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Extension of Time Limits Regulation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Parties may request an extension of time limits before a time limit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established under Part 351 expires, or as otherwise specified by the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Secretary. See 19 CFR 351.302. In general, an extension request will be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considered untimely if it is filed after the time limit established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under Part 351 expires. For submissions which are due from multiple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parties simultaneously, an extension request will be considered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untimely if it is filed after 10:00 a.m. on the due date. Examples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include, but are not limited to: (1) Case and rebuttal briefs, filed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pursuant to 19 CFR 351.309; (2) factual information to value factors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under 19 CFR 351.408(c), or to measure the adequacy of remuneration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under 19 CFR 351.511(a)(2), filed pursuant to 19 CFR 351.301(c)(3) and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rebuttal, clarification and correction filed pursuant to 19 CFR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351.301(c)(3)(iv); (3) comments concerning the selection of a surrogate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country and surrogate values and rebuttal; (4) comments concerning U.S.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Customs and Border Protection data; and (5) quantity and value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questionnaires. Under certain circumstances, the Department may elect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to specify a different time limit by which extension requests will be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considered untimely for submissions which are due from multiple parties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simultaneously. In such a case, the Department will inform parties in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the letter or memorandum setting forth the deadline (including a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specified time) by which extension requests must be filed to be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considered timely. This modification also requires that an extension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request must be made in a separate, stand-alone submission, and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clarifies the circumstances under which the Department will grant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untimely-filed requests for the extension of time limits. These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modifications are effective for all segments initiated on or after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 xml:space="preserve">October 21, 2013. Please review the final rule, available at http://www.gpo.gov/fdsys/pkg/FR-2013-09-20/html/2013-22853.htm, prior to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submitting factual information in these segments.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These initiations and this notice are in accordance with section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751(a) of the Act (19 U.S.C. 1675(a)) and 19 CFR 351.221(c)(1)(i).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Dated: March 9, 2017.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Gary Taverman,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Associate Deputy Assistant Secretary for Antidumping and Countervailing 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Duty Operations.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>[FR Doc. 2017-05166 Filed 3-14-17; 8:45 am]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57C8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BILLING CODE 3510-DS-P</w:t>
      </w: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E57C8E" w:rsidRPr="00E57C8E" w:rsidRDefault="00E57C8E" w:rsidP="00E57C8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34850" w:rsidRDefault="00A34850"/>
    <w:sectPr w:rsidR="00A34850" w:rsidSect="00DC5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7C8E"/>
    <w:rsid w:val="00065479"/>
    <w:rsid w:val="0025297C"/>
    <w:rsid w:val="002E7D92"/>
    <w:rsid w:val="00445846"/>
    <w:rsid w:val="00446707"/>
    <w:rsid w:val="005E31A1"/>
    <w:rsid w:val="006A1CAD"/>
    <w:rsid w:val="006B71F2"/>
    <w:rsid w:val="006E3C32"/>
    <w:rsid w:val="00726DC9"/>
    <w:rsid w:val="00A1558A"/>
    <w:rsid w:val="00A34850"/>
    <w:rsid w:val="00B17F2F"/>
    <w:rsid w:val="00C658A2"/>
    <w:rsid w:val="00CF2CF9"/>
    <w:rsid w:val="00DC5B53"/>
    <w:rsid w:val="00E5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E57C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57C8E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4257</Words>
  <Characters>24269</Characters>
  <Application>Microsoft Office Word</Application>
  <DocSecurity>0</DocSecurity>
  <Lines>202</Lines>
  <Paragraphs>56</Paragraphs>
  <ScaleCrop>false</ScaleCrop>
  <Company/>
  <LinksUpToDate>false</LinksUpToDate>
  <CharactersWithSpaces>28470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shan</cp:lastModifiedBy>
  <cp:revision>1</cp:revision>
  <dcterms:created xsi:type="dcterms:W3CDTF">2017-03-16T03:12:00Z</dcterms:created>
  <dcterms:modified xsi:type="dcterms:W3CDTF">2017-03-16T03:12:00Z</dcterms:modified>
</cp:coreProperties>
</file>